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296.47058823529414" w:lineRule="auto"/>
        <w:rPr>
          <w:rFonts w:ascii="Roboto" w:cs="Roboto" w:eastAsia="Roboto" w:hAnsi="Roboto"/>
          <w:b w:val="1"/>
          <w:bCs w:val="1"/>
          <w:color w:val="222222"/>
          <w:sz w:val="33"/>
          <w:szCs w:val="33"/>
        </w:rPr>
      </w:pPr>
      <w:bookmarkStart w:colFirst="0" w:colLast="0" w:name="_heading=h.91z2xkwi9u4j" w:id="0"/>
      <w:bookmarkEnd w:id="0"/>
      <w:r w:rsidDel="00000000" w:rsidR="00000000" w:rsidRPr="00000000">
        <w:rPr>
          <w:rFonts w:ascii="Roboto" w:cs="Roboto" w:eastAsia="Roboto" w:hAnsi="Roboto"/>
          <w:b w:val="1"/>
          <w:bCs w:val="1"/>
          <w:color w:val="222222"/>
          <w:sz w:val="33"/>
          <w:szCs w:val="33"/>
          <w:rtl w:val="0"/>
        </w:rPr>
        <w:t xml:space="preserve">Supplier Diversity Policy — Prestige Environmental LLC</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Purpose</w:t>
        <w:br w:type="textWrapping"/>
        <w:t xml:space="preserve">To promote equitable procurement practices that increase participation of diverse suppliers in our purchasing processes, support local and underrepresented businesses, and advance our environmental and social goals while maintaining fair competition, quality, and cost-effectiveness.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Scope</w:t>
        <w:br w:type="textWrapping"/>
        <w:t xml:space="preserve">This policy applies to all procurement activities, contractors, consultants, subcontractors, and purchasing decisions made by Prestige Environmental LLC and its subsidiaries or project teams.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Definitions</w:t>
      </w:r>
    </w:p>
    <w:p w:rsidR="00000000" w:rsidDel="00000000" w:rsidP="00000000" w:rsidRDefault="00000000" w:rsidRPr="00000000" w14:paraId="00000005">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Diverse supplier: A business that is at least 51% owned, controlled, and operated by one or more individuals from one or more of the following groups: minority-owned (BIPOC), women-owned, veteran-owned, LGBTQ+-owned, disability-owned, and economically disadvantaged or historically underutilized small businesses.</w:t>
      </w:r>
    </w:p>
    <w:p w:rsidR="00000000" w:rsidDel="00000000" w:rsidP="00000000" w:rsidRDefault="00000000" w:rsidRPr="00000000" w14:paraId="00000006">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Local supplier: A business physically located within [define radius or region, e.g., 100 miles or the company's state/municipality].</w:t>
      </w:r>
    </w:p>
    <w:p w:rsidR="00000000" w:rsidDel="00000000" w:rsidP="00000000" w:rsidRDefault="00000000" w:rsidRPr="00000000" w14:paraId="00000007">
      <w:pPr>
        <w:numPr>
          <w:ilvl w:val="0"/>
          <w:numId w:val="5"/>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Strategic supplier: Vendors providing critical goods or services with significant spend, risk, or long-term partnership potential.</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Policy Principles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Inclusion and Opportunity</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Prestige Environmental LLC will actively seek, identify, and consider qualified diverse and local suppliers for all procurements where a reasonable pool of such suppliers exists.</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Diverse suppliers will be included in bid lists, Request for Proposal (RFP) processes, and sourcing events alongside other qualified vendors.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Fair and Transparent Procurement</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All supplier selection will be based on objective criteria: technical capability, price, quality, schedule, environmental performance, and compliance with legal and safety requirements.</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Diversity status will be one factor among others and not used to override clear technical or safety deficiencies.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Environmental &amp; Social Alignment</w:t>
      </w:r>
    </w:p>
    <w:p w:rsidR="00000000" w:rsidDel="00000000" w:rsidP="00000000" w:rsidRDefault="00000000" w:rsidRPr="00000000" w14:paraId="00000010">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Preference is given to suppliers whose products, services, and practices align with Prestige Environmental LLC’s environmental goals (e.g., low-carbon materials, circular-economy practices, reduced waste).</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Where tradeoffs exist, evaluate lifecycle environmental impact, total cost of ownership, and social benefit together.</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Capacity Building &amp; Support</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Where feasible, Prestige Environmental LLC will provide procurement guidance, pre-bid workshops, and feedback to help diverse suppliers compete effectively.</w:t>
      </w:r>
    </w:p>
    <w:p w:rsidR="00000000" w:rsidDel="00000000" w:rsidP="00000000" w:rsidRDefault="00000000" w:rsidRPr="00000000" w14:paraId="00000014">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Encourage prime contractors to subcontract portions of work to qualified diverse suppliers on larger projects.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Measurement &amp; Reporting</w:t>
      </w:r>
    </w:p>
    <w:p w:rsidR="00000000" w:rsidDel="00000000" w:rsidP="00000000" w:rsidRDefault="00000000" w:rsidRPr="00000000" w14:paraId="00000016">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Prestige Environmental LLC will track supplier diversity metrics annually including: number of diverse suppliers engaged, spend with diverse suppliers (absolute and percentage), procurement events including diverse bidder participation, and contracts awarded.</w:t>
      </w:r>
    </w:p>
    <w:p w:rsidR="00000000" w:rsidDel="00000000" w:rsidP="00000000" w:rsidRDefault="00000000" w:rsidRPr="00000000" w14:paraId="00000017">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Progress will be reviewed by management at least annually and reported internally; a summarized update will be included in the company’s sustainability report.</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Reasonable Targets and Continuous Improvement</w:t>
      </w:r>
    </w:p>
    <w:p w:rsidR="00000000" w:rsidDel="00000000" w:rsidP="00000000" w:rsidRDefault="00000000" w:rsidRPr="00000000" w14:paraId="00000019">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Establish achievable, time-bound targets for diverse supplier spend and participation appropriate to company size and market context (e.g., a baseline target of X% diverse-supplier spend within Y years).</w:t>
      </w:r>
    </w:p>
    <w:p w:rsidR="00000000" w:rsidDel="00000000" w:rsidP="00000000" w:rsidRDefault="00000000" w:rsidRPr="00000000" w14:paraId="0000001A">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Targets will be reviewed and adjusted every 12 months based on performance and market availability.</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Compliance and Ethics</w:t>
      </w:r>
    </w:p>
    <w:p w:rsidR="00000000" w:rsidDel="00000000" w:rsidP="00000000" w:rsidRDefault="00000000" w:rsidRPr="00000000" w14:paraId="0000001C">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1920" w:hanging="360"/>
      </w:pPr>
      <w:r w:rsidDel="00000000" w:rsidR="00000000" w:rsidRPr="00000000">
        <w:rPr>
          <w:rFonts w:ascii="Roboto" w:cs="Roboto" w:eastAsia="Roboto" w:hAnsi="Roboto"/>
          <w:color w:val="222222"/>
          <w:sz w:val="25"/>
          <w:szCs w:val="25"/>
          <w:rtl w:val="0"/>
        </w:rPr>
        <w:t xml:space="preserve">All procurement staff must follow this policy alongside conflict-of-interest and anti-corruption rules.</w:t>
      </w:r>
    </w:p>
    <w:p w:rsidR="00000000" w:rsidDel="00000000" w:rsidP="00000000" w:rsidRDefault="00000000" w:rsidRPr="00000000" w14:paraId="0000001D">
      <w:pPr>
        <w:numPr>
          <w:ilvl w:val="1"/>
          <w:numId w:val="2"/>
        </w:numPr>
        <w:pBdr>
          <w:top w:color="auto" w:space="0" w:sz="0" w:val="none"/>
          <w:bottom w:color="auto" w:space="0" w:sz="0" w:val="none"/>
          <w:right w:color="auto" w:space="0" w:sz="0" w:val="none"/>
          <w:between w:color="auto" w:space="0" w:sz="0" w:val="none"/>
        </w:pBdr>
        <w:spacing w:after="120" w:line="360" w:lineRule="auto"/>
        <w:ind w:left="1920" w:hanging="360"/>
      </w:pPr>
      <w:r w:rsidDel="00000000" w:rsidR="00000000" w:rsidRPr="00000000">
        <w:rPr>
          <w:rFonts w:ascii="Roboto" w:cs="Roboto" w:eastAsia="Roboto" w:hAnsi="Roboto"/>
          <w:color w:val="222222"/>
          <w:sz w:val="25"/>
          <w:szCs w:val="25"/>
          <w:rtl w:val="0"/>
        </w:rPr>
        <w:t xml:space="preserve">Misrepresentation of diversity status by suppliers is prohibited and may result in contract termination and disqualification.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Procedures (Operational Guidance)</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Sourcing: For procurements over [threshold, e.g., $10,000], procurement teams must document outreach efforts to identify and invite diverse suppliers.</w:t>
      </w:r>
    </w:p>
    <w:p w:rsidR="00000000" w:rsidDel="00000000" w:rsidP="00000000" w:rsidRDefault="00000000" w:rsidRPr="00000000" w14:paraId="00000020">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Bid Lists: Maintain and regularly update a supplier database that flags certified diversity status and local presence. Use third-party registries and local chambers to source candidates.</w:t>
      </w:r>
    </w:p>
    <w:p w:rsidR="00000000" w:rsidDel="00000000" w:rsidP="00000000" w:rsidRDefault="00000000" w:rsidRPr="00000000" w14:paraId="00000021">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Evaluations: Include a diversity outreach score or checklist in procurement documentation to demonstrate efforts to include diverse suppliers.</w:t>
      </w:r>
    </w:p>
    <w:p w:rsidR="00000000" w:rsidDel="00000000" w:rsidP="00000000" w:rsidRDefault="00000000" w:rsidRPr="00000000" w14:paraId="00000022">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Contracting: Where relevant, include subcontracting goals for diverse suppliers in contract documents and require reporting of subcontractor diversity.</w:t>
      </w:r>
    </w:p>
    <w:p w:rsidR="00000000" w:rsidDel="00000000" w:rsidP="00000000" w:rsidRDefault="00000000" w:rsidRPr="00000000" w14:paraId="00000023">
      <w:pPr>
        <w:numPr>
          <w:ilvl w:val="0"/>
          <w:numId w:val="8"/>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Small Purchases: Encourage use of diverse/local suppliers for routine purchases by maintaining an approved list of low-dollar diverse vendors.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Roles &amp; Responsibilities</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Executive Team: Approve policy, set targets, and allocate resources.</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Operations Manager: Include diverse-supplier considerations when planning projects and budgets.</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Employees: Follow procurement procedures and proactively recommend qualified diverse suppliers.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Verification &amp; Certification</w:t>
      </w:r>
    </w:p>
    <w:p w:rsidR="00000000" w:rsidDel="00000000" w:rsidP="00000000" w:rsidRDefault="00000000" w:rsidRPr="00000000" w14:paraId="00000029">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Prestige Environmental LLC will accept recognized third-party diversity certifications where available (e.g., WBE, MBE, SDVOSB, LGBTBE).</w:t>
      </w:r>
    </w:p>
    <w:p w:rsidR="00000000" w:rsidDel="00000000" w:rsidP="00000000" w:rsidRDefault="00000000" w:rsidRPr="00000000" w14:paraId="0000002A">
      <w:pPr>
        <w:numPr>
          <w:ilvl w:val="0"/>
          <w:numId w:val="7"/>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When certification is unavailable, Prestige Environmental LLC will accept credible documentation of ownership and control and perform reasonable verification.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Exceptions</w:t>
      </w:r>
    </w:p>
    <w:p w:rsidR="00000000" w:rsidDel="00000000" w:rsidP="00000000" w:rsidRDefault="00000000" w:rsidRPr="00000000" w14:paraId="0000002C">
      <w:pPr>
        <w:numPr>
          <w:ilvl w:val="0"/>
          <w:numId w:val="3"/>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Exceptions to outreach requirements may be granted when: a sole source is required due to technical reasons, emergency procurements where time is critical, or no reasonably available diverse suppliers exist for the specific good or service. Exceptions must be documented and approved by Senior Management.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Review Cycle</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This policy will be reviewed annually by the Executive Team.</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20" w:line="360" w:lineRule="auto"/>
        <w:rPr>
          <w:rFonts w:ascii="Roboto" w:cs="Roboto" w:eastAsia="Roboto" w:hAnsi="Roboto"/>
          <w:color w:val="222222"/>
          <w:sz w:val="25"/>
          <w:szCs w:val="25"/>
        </w:rPr>
      </w:pPr>
      <w:r w:rsidDel="00000000" w:rsidR="00000000" w:rsidRPr="00000000">
        <w:rPr>
          <w:rFonts w:ascii="Roboto" w:cs="Roboto" w:eastAsia="Roboto" w:hAnsi="Roboto"/>
          <w:color w:val="222222"/>
          <w:sz w:val="25"/>
          <w:szCs w:val="25"/>
          <w:rtl w:val="0"/>
        </w:rPr>
        <w:t xml:space="preserve">Effective Date and Approval</w:t>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Effective date: May 7, 2026</w:t>
      </w:r>
    </w:p>
    <w:p w:rsidR="00000000" w:rsidDel="00000000" w:rsidP="00000000" w:rsidRDefault="00000000" w:rsidRPr="00000000" w14:paraId="00000031">
      <w:pPr>
        <w:numPr>
          <w:ilvl w:val="0"/>
          <w:numId w:val="6"/>
        </w:numPr>
        <w:pBdr>
          <w:top w:color="auto" w:space="0" w:sz="0" w:val="none"/>
          <w:bottom w:color="auto" w:space="0" w:sz="0" w:val="none"/>
          <w:right w:color="auto" w:space="0" w:sz="0" w:val="none"/>
          <w:between w:color="auto" w:space="0" w:sz="0" w:val="none"/>
        </w:pBdr>
        <w:shd w:fill="ffffff" w:val="clear"/>
        <w:spacing w:after="120" w:line="360" w:lineRule="auto"/>
        <w:ind w:left="960" w:hanging="360"/>
        <w:rPr>
          <w:sz w:val="25"/>
          <w:szCs w:val="25"/>
        </w:rPr>
      </w:pPr>
      <w:r w:rsidDel="00000000" w:rsidR="00000000" w:rsidRPr="00000000">
        <w:rPr>
          <w:rFonts w:ascii="Roboto" w:cs="Roboto" w:eastAsia="Roboto" w:hAnsi="Roboto"/>
          <w:color w:val="222222"/>
          <w:sz w:val="25"/>
          <w:szCs w:val="25"/>
          <w:rtl w:val="0"/>
        </w:rPr>
        <w:t xml:space="preserve">Approved by: Jeff Long/President, Prestige Environmental LLC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rFonts w:ascii="Roboto" w:cs="Roboto" w:eastAsia="Roboto" w:hAnsi="Roboto"/>
        <w:b w:val="0"/>
        <w:bCs w:val="0"/>
        <w:i w:val="0"/>
        <w:iCs w:val="0"/>
        <w:smallCaps w:val="0"/>
        <w:color w:val="222222"/>
        <w:sz w:val="25"/>
        <w:szCs w:val="25"/>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j/MUdY6yaVPgk+9FF/xJFsVA==">CgMxLjAyDmguOTF6Mnhrd2k5dTRqOAByITFTYWx6cFB6VWNzQ0sxWDh4aEpxMDhRYUFJWVVvUWRkdg==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2025-09-05T17:56:54Z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a003b765-77ad-4261-b148-30c3c9c46d51</vt:lpwstr>
  </property>
  <property fmtid="{D5CDD505-2E9C-101B-9397-08002B2CF9AE}" pid="7" name="MSIP_Label_defa4170-0d19-0005-0004-bc88714345d2_ActionId">
    <vt:lpwstr>353e12e9-f8a1-4dae-8949-0745ca56b19e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